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ABA7" w14:textId="4E2C9445" w:rsidR="00FB77EB" w:rsidRDefault="00F02FAB">
      <w:pPr>
        <w:rPr>
          <w:rFonts w:ascii="Times New Roman" w:hAnsi="Times New Roman" w:cs="Times New Roman"/>
          <w:color w:val="000000" w:themeColor="text1"/>
          <w:sz w:val="36"/>
          <w:szCs w:val="36"/>
        </w:rPr>
      </w:pPr>
      <w:r>
        <w:rPr>
          <w:rFonts w:ascii="Times New Roman" w:hAnsi="Times New Roman" w:cs="Times New Roman"/>
          <w:noProof/>
          <w:color w:val="000000" w:themeColor="text1"/>
          <w:sz w:val="36"/>
          <w:szCs w:val="36"/>
          <w14:ligatures w14:val="standardContextual"/>
        </w:rPr>
        <w:drawing>
          <wp:inline distT="0" distB="0" distL="0" distR="0" wp14:anchorId="1F410611" wp14:editId="05C63F9C">
            <wp:extent cx="5943600" cy="3310255"/>
            <wp:effectExtent l="0" t="0" r="0" b="4445"/>
            <wp:docPr id="549344795" name="Picture 4" descr="A diagram of a wri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344795" name="Picture 4" descr="A diagram of a wri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10255"/>
                    </a:xfrm>
                    <a:prstGeom prst="rect">
                      <a:avLst/>
                    </a:prstGeom>
                  </pic:spPr>
                </pic:pic>
              </a:graphicData>
            </a:graphic>
          </wp:inline>
        </w:drawing>
      </w:r>
      <w:r w:rsidR="00FB77EB">
        <w:rPr>
          <w:rFonts w:ascii="Times New Roman" w:hAnsi="Times New Roman" w:cs="Times New Roman"/>
          <w:color w:val="000000" w:themeColor="text1"/>
          <w:sz w:val="36"/>
          <w:szCs w:val="36"/>
        </w:rPr>
        <w:br w:type="page"/>
      </w:r>
    </w:p>
    <w:p w14:paraId="6E5F954E" w14:textId="4D1D575F" w:rsidR="00EB1E6E" w:rsidRPr="00EB1E6E" w:rsidRDefault="00EB1E6E" w:rsidP="00BD68B6">
      <w:pPr>
        <w:pBdr>
          <w:top w:val="single" w:sz="4" w:space="1" w:color="auto"/>
          <w:bottom w:val="single" w:sz="4" w:space="1" w:color="auto"/>
        </w:pBdr>
        <w:shd w:val="clear" w:color="auto" w:fill="F2F2F2" w:themeFill="background1" w:themeFillShade="F2"/>
        <w:spacing w:line="276" w:lineRule="auto"/>
        <w:rPr>
          <w:rFonts w:ascii="Times New Roman" w:hAnsi="Times New Roman" w:cs="Times New Roman"/>
          <w:color w:val="000000" w:themeColor="text1"/>
          <w:sz w:val="36"/>
          <w:szCs w:val="36"/>
        </w:rPr>
      </w:pPr>
      <w:r w:rsidRPr="00EB1E6E">
        <w:rPr>
          <w:rFonts w:ascii="Times New Roman" w:hAnsi="Times New Roman" w:cs="Times New Roman"/>
          <w:color w:val="000000" w:themeColor="text1"/>
          <w:sz w:val="36"/>
          <w:szCs w:val="36"/>
        </w:rPr>
        <w:lastRenderedPageBreak/>
        <w:t>Exercise #2:</w:t>
      </w:r>
    </w:p>
    <w:p w14:paraId="741D1F6A" w14:textId="77777777" w:rsidR="00EB1E6E" w:rsidRDefault="00EB1E6E" w:rsidP="00266AE5">
      <w:pPr>
        <w:spacing w:line="276" w:lineRule="auto"/>
        <w:rPr>
          <w:rFonts w:ascii="Times New Roman" w:hAnsi="Times New Roman" w:cs="Times New Roman"/>
          <w:color w:val="000000" w:themeColor="text1"/>
        </w:rPr>
      </w:pPr>
    </w:p>
    <w:p w14:paraId="19CC3468" w14:textId="7071C3FC" w:rsidR="00EB1E6E" w:rsidRPr="00526953" w:rsidRDefault="00EB1E6E" w:rsidP="00EB1E6E">
      <w:pPr>
        <w:pStyle w:val="ListParagraph"/>
        <w:numPr>
          <w:ilvl w:val="0"/>
          <w:numId w:val="1"/>
        </w:numPr>
        <w:spacing w:line="276" w:lineRule="auto"/>
        <w:rPr>
          <w:rFonts w:ascii="Times New Roman" w:hAnsi="Times New Roman" w:cs="Times New Roman"/>
          <w:i/>
          <w:iCs/>
          <w:color w:val="000000" w:themeColor="text1"/>
        </w:rPr>
      </w:pPr>
      <w:r w:rsidRPr="00526953">
        <w:rPr>
          <w:rFonts w:ascii="Times New Roman" w:hAnsi="Times New Roman" w:cs="Times New Roman"/>
          <w:i/>
          <w:iCs/>
          <w:color w:val="000000" w:themeColor="text1"/>
        </w:rPr>
        <w:t>Read through Paragraph 1 &amp; Paragraph 2</w:t>
      </w:r>
    </w:p>
    <w:p w14:paraId="489C0C15" w14:textId="5EC09421" w:rsidR="00EB1E6E" w:rsidRPr="00526953" w:rsidRDefault="00EB1E6E" w:rsidP="00EB1E6E">
      <w:pPr>
        <w:pStyle w:val="ListParagraph"/>
        <w:numPr>
          <w:ilvl w:val="0"/>
          <w:numId w:val="1"/>
        </w:numPr>
        <w:spacing w:line="276" w:lineRule="auto"/>
        <w:rPr>
          <w:rFonts w:ascii="Times New Roman" w:hAnsi="Times New Roman" w:cs="Times New Roman"/>
          <w:i/>
          <w:iCs/>
          <w:color w:val="000000" w:themeColor="text1"/>
        </w:rPr>
      </w:pPr>
      <w:r w:rsidRPr="00526953">
        <w:rPr>
          <w:rFonts w:ascii="Times New Roman" w:hAnsi="Times New Roman" w:cs="Times New Roman"/>
          <w:i/>
          <w:iCs/>
          <w:color w:val="000000" w:themeColor="text1"/>
        </w:rPr>
        <w:t xml:space="preserve">Select which paragraph you find easier to </w:t>
      </w:r>
      <w:proofErr w:type="gramStart"/>
      <w:r w:rsidR="006963DB">
        <w:rPr>
          <w:rFonts w:ascii="Times New Roman" w:hAnsi="Times New Roman" w:cs="Times New Roman"/>
          <w:i/>
          <w:iCs/>
          <w:color w:val="000000" w:themeColor="text1"/>
        </w:rPr>
        <w:t>understand</w:t>
      </w:r>
      <w:proofErr w:type="gramEnd"/>
    </w:p>
    <w:p w14:paraId="3EA0BC71" w14:textId="33F24EFC" w:rsidR="00EB1E6E" w:rsidRPr="00526953" w:rsidRDefault="00EB1E6E" w:rsidP="00EB1E6E">
      <w:pPr>
        <w:pStyle w:val="ListParagraph"/>
        <w:numPr>
          <w:ilvl w:val="0"/>
          <w:numId w:val="1"/>
        </w:numPr>
        <w:spacing w:line="276" w:lineRule="auto"/>
        <w:rPr>
          <w:rFonts w:ascii="Times New Roman" w:hAnsi="Times New Roman" w:cs="Times New Roman"/>
          <w:i/>
          <w:iCs/>
          <w:color w:val="000000" w:themeColor="text1"/>
        </w:rPr>
      </w:pPr>
      <w:r w:rsidRPr="00526953">
        <w:rPr>
          <w:rFonts w:ascii="Times New Roman" w:hAnsi="Times New Roman" w:cs="Times New Roman"/>
          <w:i/>
          <w:iCs/>
          <w:color w:val="000000" w:themeColor="text1"/>
        </w:rPr>
        <w:t xml:space="preserve">Circle the words and features that </w:t>
      </w:r>
      <w:r w:rsidR="009035D8">
        <w:rPr>
          <w:rFonts w:ascii="Times New Roman" w:hAnsi="Times New Roman" w:cs="Times New Roman"/>
          <w:i/>
          <w:iCs/>
          <w:color w:val="000000" w:themeColor="text1"/>
        </w:rPr>
        <w:t xml:space="preserve">improve your </w:t>
      </w:r>
      <w:proofErr w:type="gramStart"/>
      <w:r w:rsidR="009035D8">
        <w:rPr>
          <w:rFonts w:ascii="Times New Roman" w:hAnsi="Times New Roman" w:cs="Times New Roman"/>
          <w:i/>
          <w:iCs/>
          <w:color w:val="000000" w:themeColor="text1"/>
        </w:rPr>
        <w:t>understanding</w:t>
      </w:r>
      <w:proofErr w:type="gramEnd"/>
    </w:p>
    <w:p w14:paraId="16589A23" w14:textId="77777777" w:rsidR="00EB1E6E" w:rsidRDefault="00EB1E6E" w:rsidP="00EB1E6E">
      <w:pPr>
        <w:spacing w:line="276" w:lineRule="auto"/>
        <w:rPr>
          <w:rFonts w:ascii="Times New Roman" w:hAnsi="Times New Roman" w:cs="Times New Roman"/>
          <w:color w:val="000000" w:themeColor="text1"/>
        </w:rPr>
      </w:pPr>
    </w:p>
    <w:p w14:paraId="05B9B97F" w14:textId="0F2BF007" w:rsidR="00EB1E6E" w:rsidRPr="00EB1E6E" w:rsidRDefault="00EB1E6E" w:rsidP="00266AE5">
      <w:pPr>
        <w:spacing w:line="276" w:lineRule="auto"/>
        <w:rPr>
          <w:rFonts w:ascii="Times New Roman" w:hAnsi="Times New Roman" w:cs="Times New Roman"/>
          <w:color w:val="000000" w:themeColor="text1"/>
          <w:sz w:val="32"/>
          <w:szCs w:val="32"/>
        </w:rPr>
      </w:pPr>
      <w:r w:rsidRPr="00EB1E6E">
        <w:rPr>
          <w:rFonts w:ascii="Times New Roman" w:hAnsi="Times New Roman" w:cs="Times New Roman"/>
          <w:color w:val="000000" w:themeColor="text1"/>
          <w:sz w:val="32"/>
          <w:szCs w:val="32"/>
        </w:rPr>
        <w:t>Paragraph 1</w:t>
      </w:r>
    </w:p>
    <w:p w14:paraId="4F9B93CB" w14:textId="51C7DF7E" w:rsidR="002F734D" w:rsidRDefault="009154A4" w:rsidP="00266AE5">
      <w:pPr>
        <w:spacing w:line="276" w:lineRule="auto"/>
        <w:rPr>
          <w:rFonts w:ascii="Times New Roman" w:hAnsi="Times New Roman" w:cs="Times New Roman"/>
          <w:color w:val="000000" w:themeColor="text1"/>
        </w:rPr>
      </w:pPr>
      <w:r w:rsidRPr="009154A4">
        <w:rPr>
          <w:rFonts w:ascii="Times New Roman" w:hAnsi="Times New Roman" w:cs="Times New Roman"/>
          <w:color w:val="000000" w:themeColor="text1"/>
        </w:rPr>
        <w:t xml:space="preserve">This review will focus on biomolecular condensates that scientists have discovered or are discovering and what their possible </w:t>
      </w:r>
      <w:r>
        <w:rPr>
          <w:rFonts w:ascii="Times New Roman" w:hAnsi="Times New Roman" w:cs="Times New Roman"/>
          <w:color w:val="000000" w:themeColor="text1"/>
        </w:rPr>
        <w:t>functions are</w:t>
      </w:r>
      <w:r w:rsidRPr="009154A4">
        <w:rPr>
          <w:rFonts w:ascii="Times New Roman" w:hAnsi="Times New Roman" w:cs="Times New Roman"/>
          <w:color w:val="000000" w:themeColor="text1"/>
        </w:rPr>
        <w:t xml:space="preserve">. </w:t>
      </w:r>
      <w:r w:rsidR="00266AE5">
        <w:rPr>
          <w:rFonts w:ascii="Times New Roman" w:hAnsi="Times New Roman" w:cs="Times New Roman"/>
          <w:color w:val="000000" w:themeColor="text1"/>
        </w:rPr>
        <w:t xml:space="preserve"> </w:t>
      </w:r>
      <w:r w:rsidR="00266AE5" w:rsidRPr="00266AE5">
        <w:rPr>
          <w:rFonts w:ascii="Times New Roman" w:hAnsi="Times New Roman" w:cs="Times New Roman"/>
          <w:color w:val="000000" w:themeColor="text1"/>
        </w:rPr>
        <w:t xml:space="preserve">P granules are a subclass of germ granules that coalesce through the progenitor germ lineage of the </w:t>
      </w:r>
      <w:r w:rsidR="00266AE5" w:rsidRPr="00266AE5">
        <w:rPr>
          <w:rFonts w:ascii="Times New Roman" w:hAnsi="Times New Roman" w:cs="Times New Roman"/>
          <w:i/>
          <w:iCs/>
          <w:color w:val="000000" w:themeColor="text1"/>
        </w:rPr>
        <w:t xml:space="preserve">C. elegans </w:t>
      </w:r>
      <w:r w:rsidR="00266AE5" w:rsidRPr="00266AE5">
        <w:rPr>
          <w:rFonts w:ascii="Times New Roman" w:hAnsi="Times New Roman" w:cs="Times New Roman"/>
          <w:color w:val="000000" w:themeColor="text1"/>
        </w:rPr>
        <w:t>nematode worm.</w:t>
      </w:r>
      <w:r w:rsidR="00266AE5" w:rsidRPr="00266AE5">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00266AE5" w:rsidRPr="00266AE5">
        <w:rPr>
          <w:rFonts w:ascii="Times New Roman" w:hAnsi="Times New Roman" w:cs="Times New Roman"/>
          <w:color w:val="000000" w:themeColor="text1"/>
        </w:rPr>
        <w:t xml:space="preserve">he </w:t>
      </w:r>
      <w:r w:rsidR="00266AE5" w:rsidRPr="00266AE5">
        <w:rPr>
          <w:rFonts w:ascii="Times New Roman" w:hAnsi="Times New Roman" w:cs="Times New Roman"/>
          <w:color w:val="000000" w:themeColor="text1"/>
        </w:rPr>
        <w:t xml:space="preserve">nucleolus, </w:t>
      </w:r>
      <w:proofErr w:type="spellStart"/>
      <w:r w:rsidR="00266AE5" w:rsidRPr="00266AE5">
        <w:rPr>
          <w:rFonts w:ascii="Times New Roman" w:hAnsi="Times New Roman" w:cs="Times New Roman"/>
          <w:color w:val="000000" w:themeColor="text1"/>
        </w:rPr>
        <w:t>Cajal</w:t>
      </w:r>
      <w:proofErr w:type="spellEnd"/>
      <w:r w:rsidR="00266AE5" w:rsidRPr="00266AE5">
        <w:rPr>
          <w:rFonts w:ascii="Times New Roman" w:hAnsi="Times New Roman" w:cs="Times New Roman"/>
          <w:color w:val="000000" w:themeColor="text1"/>
        </w:rPr>
        <w:t xml:space="preserve"> bodies and paraspeckles of the nucleus </w:t>
      </w:r>
      <w:r w:rsidR="00266AE5" w:rsidRPr="00266AE5">
        <w:rPr>
          <w:rFonts w:ascii="Times New Roman" w:hAnsi="Times New Roman" w:cs="Times New Roman"/>
          <w:color w:val="000000" w:themeColor="text1"/>
        </w:rPr>
        <w:t xml:space="preserve">are also biomolecular condensates. </w:t>
      </w:r>
      <w:r w:rsidR="00266AE5" w:rsidRPr="00266AE5">
        <w:rPr>
          <w:rFonts w:ascii="Times New Roman" w:hAnsi="Times New Roman" w:cs="Times New Roman"/>
          <w:color w:val="000000" w:themeColor="text1"/>
        </w:rPr>
        <w:t>P bodies, stress granules, germ granules</w:t>
      </w:r>
      <w:r w:rsidR="00266AE5" w:rsidRPr="00266AE5">
        <w:rPr>
          <w:rFonts w:ascii="Times New Roman" w:hAnsi="Times New Roman" w:cs="Times New Roman"/>
          <w:color w:val="000000" w:themeColor="text1"/>
        </w:rPr>
        <w:t xml:space="preserve"> (which P granules are a subset of)</w:t>
      </w:r>
      <w:r w:rsidR="00266AE5" w:rsidRPr="00266AE5">
        <w:rPr>
          <w:rFonts w:ascii="Times New Roman" w:hAnsi="Times New Roman" w:cs="Times New Roman"/>
          <w:color w:val="000000" w:themeColor="text1"/>
        </w:rPr>
        <w:t xml:space="preserve">, and </w:t>
      </w:r>
      <w:proofErr w:type="spellStart"/>
      <w:r w:rsidR="00266AE5" w:rsidRPr="00266AE5">
        <w:rPr>
          <w:rFonts w:ascii="Times New Roman" w:hAnsi="Times New Roman" w:cs="Times New Roman"/>
          <w:color w:val="000000" w:themeColor="text1"/>
        </w:rPr>
        <w:t>Balbiani</w:t>
      </w:r>
      <w:proofErr w:type="spellEnd"/>
      <w:r w:rsidR="00266AE5" w:rsidRPr="00266AE5">
        <w:rPr>
          <w:rFonts w:ascii="Times New Roman" w:hAnsi="Times New Roman" w:cs="Times New Roman"/>
          <w:color w:val="000000" w:themeColor="text1"/>
        </w:rPr>
        <w:t xml:space="preserve"> bodies of the cytoplasm </w:t>
      </w:r>
      <w:r w:rsidR="00266AE5" w:rsidRPr="00266AE5">
        <w:rPr>
          <w:rFonts w:ascii="Times New Roman" w:hAnsi="Times New Roman" w:cs="Times New Roman"/>
          <w:color w:val="000000" w:themeColor="text1"/>
        </w:rPr>
        <w:t>also</w:t>
      </w:r>
      <w:r w:rsidR="00266AE5" w:rsidRPr="00266AE5">
        <w:rPr>
          <w:rFonts w:ascii="Times New Roman" w:hAnsi="Times New Roman" w:cs="Times New Roman"/>
          <w:color w:val="000000" w:themeColor="text1"/>
        </w:rPr>
        <w:t xml:space="preserve"> </w:t>
      </w:r>
      <w:r w:rsidR="00266AE5" w:rsidRPr="00266AE5">
        <w:rPr>
          <w:rFonts w:ascii="Times New Roman" w:hAnsi="Times New Roman" w:cs="Times New Roman"/>
          <w:color w:val="000000" w:themeColor="text1"/>
        </w:rPr>
        <w:t>accumulate</w:t>
      </w:r>
      <w:r w:rsidR="00266AE5" w:rsidRPr="00266AE5">
        <w:rPr>
          <w:rFonts w:ascii="Times New Roman" w:hAnsi="Times New Roman" w:cs="Times New Roman"/>
          <w:color w:val="000000" w:themeColor="text1"/>
        </w:rPr>
        <w:t xml:space="preserve"> mRNAs under specific conditions or for specific organizational purposes. </w:t>
      </w:r>
      <w:r>
        <w:rPr>
          <w:rFonts w:ascii="Times New Roman" w:hAnsi="Times New Roman" w:cs="Times New Roman"/>
          <w:color w:val="000000" w:themeColor="text1"/>
        </w:rPr>
        <w:t xml:space="preserve">The function of the nuclear condensates and the cytoplasmic condensates are different and range from ribosome assembly, mRNA processing, gene regulation in the nucleus and </w:t>
      </w:r>
      <w:r>
        <w:rPr>
          <w:rFonts w:ascii="Times New Roman" w:hAnsi="Times New Roman" w:cs="Times New Roman"/>
          <w:color w:val="000000" w:themeColor="text1"/>
        </w:rPr>
        <w:t>germline regulation</w:t>
      </w:r>
      <w:r>
        <w:rPr>
          <w:rFonts w:ascii="Times New Roman" w:hAnsi="Times New Roman" w:cs="Times New Roman"/>
          <w:color w:val="000000" w:themeColor="text1"/>
        </w:rPr>
        <w:t xml:space="preserve">, mRNA processing, and cytoplasmic organization in the cytoplasm in addition to response to stress and environmental factors. </w:t>
      </w:r>
      <w:r w:rsidR="00266AE5" w:rsidRPr="00266AE5">
        <w:rPr>
          <w:rFonts w:ascii="Times New Roman" w:hAnsi="Times New Roman" w:cs="Times New Roman"/>
          <w:color w:val="000000" w:themeColor="text1"/>
        </w:rPr>
        <w:t xml:space="preserve">Our cataloging of these structures is by no means complete as new types continue to emerge such as the recently discovered </w:t>
      </w:r>
      <w:r w:rsidR="00266AE5" w:rsidRPr="00266AE5">
        <w:rPr>
          <w:rFonts w:ascii="Times New Roman" w:hAnsi="Times New Roman" w:cs="Times New Roman"/>
          <w:color w:val="000000" w:themeColor="text1"/>
        </w:rPr>
        <w:t>TIS granule</w:t>
      </w:r>
      <w:r w:rsidR="00266AE5">
        <w:rPr>
          <w:rFonts w:ascii="Times New Roman" w:hAnsi="Times New Roman" w:cs="Times New Roman"/>
          <w:color w:val="000000" w:themeColor="text1"/>
        </w:rPr>
        <w:t xml:space="preserve"> and Z granule</w:t>
      </w:r>
      <w:r w:rsidR="00266AE5" w:rsidRPr="00266AE5">
        <w:rPr>
          <w:rFonts w:ascii="Times New Roman" w:hAnsi="Times New Roman" w:cs="Times New Roman"/>
          <w:color w:val="000000" w:themeColor="text1"/>
        </w:rPr>
        <w:t xml:space="preserve">. </w:t>
      </w:r>
    </w:p>
    <w:p w14:paraId="0F8208FE" w14:textId="77777777" w:rsidR="009154A4" w:rsidRDefault="009154A4" w:rsidP="00266AE5">
      <w:pPr>
        <w:spacing w:line="276" w:lineRule="auto"/>
        <w:rPr>
          <w:rFonts w:ascii="Times New Roman" w:hAnsi="Times New Roman" w:cs="Times New Roman"/>
          <w:color w:val="000000" w:themeColor="text1"/>
        </w:rPr>
      </w:pPr>
    </w:p>
    <w:p w14:paraId="2D137953" w14:textId="77777777" w:rsidR="009154A4" w:rsidRDefault="009154A4" w:rsidP="00266AE5">
      <w:pPr>
        <w:spacing w:line="276" w:lineRule="auto"/>
        <w:rPr>
          <w:rFonts w:ascii="Times New Roman" w:hAnsi="Times New Roman" w:cs="Times New Roman"/>
          <w:color w:val="000000" w:themeColor="text1"/>
        </w:rPr>
      </w:pPr>
    </w:p>
    <w:p w14:paraId="05C412FB" w14:textId="7189AF69" w:rsidR="00266AE5" w:rsidRPr="00EB1E6E" w:rsidRDefault="00EB1E6E" w:rsidP="00266AE5">
      <w:pPr>
        <w:spacing w:line="276" w:lineRule="auto"/>
        <w:rPr>
          <w:rFonts w:ascii="Times New Roman" w:hAnsi="Times New Roman" w:cs="Times New Roman"/>
          <w:color w:val="000000" w:themeColor="text1"/>
          <w:sz w:val="32"/>
          <w:szCs w:val="32"/>
        </w:rPr>
      </w:pPr>
      <w:r w:rsidRPr="00EB1E6E">
        <w:rPr>
          <w:rFonts w:ascii="Times New Roman" w:hAnsi="Times New Roman" w:cs="Times New Roman"/>
          <w:color w:val="000000" w:themeColor="text1"/>
          <w:sz w:val="32"/>
          <w:szCs w:val="32"/>
        </w:rPr>
        <w:t>Paragraph 2</w:t>
      </w:r>
    </w:p>
    <w:p w14:paraId="64431F8D" w14:textId="52FD030C" w:rsidR="004B74B0" w:rsidRPr="004B74B0" w:rsidRDefault="004B74B0" w:rsidP="004B74B0">
      <w:pPr>
        <w:spacing w:line="276" w:lineRule="auto"/>
        <w:rPr>
          <w:rFonts w:ascii="Times New Roman" w:hAnsi="Times New Roman" w:cs="Times New Roman"/>
        </w:rPr>
      </w:pPr>
      <w:r w:rsidRPr="004B74B0">
        <w:rPr>
          <w:rFonts w:ascii="Times New Roman" w:hAnsi="Times New Roman" w:cs="Times New Roman"/>
        </w:rPr>
        <w:t xml:space="preserve">In recent years, many biological fields have identified biomolecular condensates associated with diverse cellular processes. For example, multiple biomolecular condensates within nuclei have been identified such as the nucleolus associated with ribosome assembly, </w:t>
      </w:r>
      <w:proofErr w:type="spellStart"/>
      <w:r w:rsidRPr="004B74B0">
        <w:rPr>
          <w:rFonts w:ascii="Times New Roman" w:hAnsi="Times New Roman" w:cs="Times New Roman"/>
        </w:rPr>
        <w:t>Cajal</w:t>
      </w:r>
      <w:proofErr w:type="spellEnd"/>
      <w:r w:rsidRPr="004B74B0">
        <w:rPr>
          <w:rFonts w:ascii="Times New Roman" w:hAnsi="Times New Roman" w:cs="Times New Roman"/>
        </w:rPr>
        <w:t xml:space="preserve"> bodies involved in RNA processing, and nuclear speckles ascribed to enhance gene expression (</w:t>
      </w:r>
      <w:proofErr w:type="spellStart"/>
      <w:r w:rsidRPr="004B74B0">
        <w:rPr>
          <w:rFonts w:ascii="Times New Roman" w:hAnsi="Times New Roman" w:cs="Times New Roman"/>
        </w:rPr>
        <w:t>Politz</w:t>
      </w:r>
      <w:proofErr w:type="spellEnd"/>
      <w:r w:rsidRPr="004B74B0">
        <w:rPr>
          <w:rFonts w:ascii="Times New Roman" w:hAnsi="Times New Roman" w:cs="Times New Roman"/>
        </w:rPr>
        <w:t xml:space="preserve"> et al., 2006; Yao et al., 2019; Liao and Regev, 2020; Alexander et al., 2021; </w:t>
      </w:r>
      <w:proofErr w:type="spellStart"/>
      <w:r w:rsidRPr="004B74B0">
        <w:rPr>
          <w:rFonts w:ascii="Times New Roman" w:hAnsi="Times New Roman" w:cs="Times New Roman"/>
        </w:rPr>
        <w:t>Courchaine</w:t>
      </w:r>
      <w:proofErr w:type="spellEnd"/>
      <w:r w:rsidRPr="004B74B0">
        <w:rPr>
          <w:rFonts w:ascii="Times New Roman" w:hAnsi="Times New Roman" w:cs="Times New Roman"/>
        </w:rPr>
        <w:t xml:space="preserve"> et al., 2021). In contrast, biomolecular condensates within the cytoplasm are associated with other roles. Of these, the P-bodies are sites of RNA metabolism, stress granules </w:t>
      </w:r>
      <w:r w:rsidR="00456EC9" w:rsidRPr="00EB1E6E">
        <w:rPr>
          <w:rFonts w:ascii="Times New Roman" w:hAnsi="Times New Roman" w:cs="Times New Roman"/>
        </w:rPr>
        <w:t>sequester</w:t>
      </w:r>
      <w:r w:rsidRPr="004B74B0">
        <w:rPr>
          <w:rFonts w:ascii="Times New Roman" w:hAnsi="Times New Roman" w:cs="Times New Roman"/>
        </w:rPr>
        <w:t xml:space="preserve"> </w:t>
      </w:r>
      <w:r w:rsidR="00456EC9" w:rsidRPr="00EB1E6E">
        <w:rPr>
          <w:rFonts w:ascii="Times New Roman" w:hAnsi="Times New Roman" w:cs="Times New Roman"/>
        </w:rPr>
        <w:t>m</w:t>
      </w:r>
      <w:r w:rsidRPr="004B74B0">
        <w:rPr>
          <w:rFonts w:ascii="Times New Roman" w:hAnsi="Times New Roman" w:cs="Times New Roman"/>
        </w:rPr>
        <w:t xml:space="preserve">RNA, germ granules mediate germline gene expression, and </w:t>
      </w:r>
      <w:proofErr w:type="spellStart"/>
      <w:r w:rsidRPr="004B74B0">
        <w:rPr>
          <w:rFonts w:ascii="Times New Roman" w:hAnsi="Times New Roman" w:cs="Times New Roman"/>
        </w:rPr>
        <w:t>Balbiani</w:t>
      </w:r>
      <w:proofErr w:type="spellEnd"/>
      <w:r w:rsidRPr="004B74B0">
        <w:rPr>
          <w:rFonts w:ascii="Times New Roman" w:hAnsi="Times New Roman" w:cs="Times New Roman"/>
        </w:rPr>
        <w:t xml:space="preserve"> bodies </w:t>
      </w:r>
      <w:r w:rsidR="00F70533">
        <w:rPr>
          <w:rFonts w:ascii="Times New Roman" w:hAnsi="Times New Roman" w:cs="Times New Roman"/>
        </w:rPr>
        <w:t>attach</w:t>
      </w:r>
      <w:r w:rsidRPr="004B74B0">
        <w:rPr>
          <w:rFonts w:ascii="Times New Roman" w:hAnsi="Times New Roman" w:cs="Times New Roman"/>
        </w:rPr>
        <w:t xml:space="preserve"> cytoplasmic components together (</w:t>
      </w:r>
      <w:proofErr w:type="spellStart"/>
      <w:r w:rsidRPr="004B74B0">
        <w:rPr>
          <w:rFonts w:ascii="Times New Roman" w:hAnsi="Times New Roman" w:cs="Times New Roman"/>
        </w:rPr>
        <w:t>Kedersha</w:t>
      </w:r>
      <w:proofErr w:type="spellEnd"/>
      <w:r w:rsidRPr="004B74B0">
        <w:rPr>
          <w:rFonts w:ascii="Times New Roman" w:hAnsi="Times New Roman" w:cs="Times New Roman"/>
        </w:rPr>
        <w:t xml:space="preserve"> et al., 2005; </w:t>
      </w:r>
      <w:proofErr w:type="spellStart"/>
      <w:r w:rsidRPr="004B74B0">
        <w:rPr>
          <w:rFonts w:ascii="Times New Roman" w:hAnsi="Times New Roman" w:cs="Times New Roman"/>
        </w:rPr>
        <w:t>Brangwynne</w:t>
      </w:r>
      <w:proofErr w:type="spellEnd"/>
      <w:r w:rsidRPr="004B74B0">
        <w:rPr>
          <w:rFonts w:ascii="Times New Roman" w:hAnsi="Times New Roman" w:cs="Times New Roman"/>
        </w:rPr>
        <w:t xml:space="preserve"> et al., 2009; Voronina et al., 2011; </w:t>
      </w:r>
      <w:proofErr w:type="spellStart"/>
      <w:r w:rsidRPr="004B74B0">
        <w:rPr>
          <w:rFonts w:ascii="Times New Roman" w:hAnsi="Times New Roman" w:cs="Times New Roman"/>
        </w:rPr>
        <w:t>Kroschwald</w:t>
      </w:r>
      <w:proofErr w:type="spellEnd"/>
      <w:r w:rsidRPr="004B74B0">
        <w:rPr>
          <w:rFonts w:ascii="Times New Roman" w:hAnsi="Times New Roman" w:cs="Times New Roman"/>
        </w:rPr>
        <w:t xml:space="preserve"> et al., 2015; Boke et al., 2016; </w:t>
      </w:r>
      <w:proofErr w:type="spellStart"/>
      <w:r w:rsidRPr="004B74B0">
        <w:rPr>
          <w:rFonts w:ascii="Times New Roman" w:hAnsi="Times New Roman" w:cs="Times New Roman"/>
        </w:rPr>
        <w:t>Protter</w:t>
      </w:r>
      <w:proofErr w:type="spellEnd"/>
      <w:r w:rsidRPr="004B74B0">
        <w:rPr>
          <w:rFonts w:ascii="Times New Roman" w:hAnsi="Times New Roman" w:cs="Times New Roman"/>
        </w:rPr>
        <w:t xml:space="preserve"> and Parker, 2016). Beyond these well-studied examples, </w:t>
      </w:r>
      <w:r w:rsidR="00281B92">
        <w:rPr>
          <w:rFonts w:ascii="Times New Roman" w:hAnsi="Times New Roman" w:cs="Times New Roman"/>
        </w:rPr>
        <w:t>novel</w:t>
      </w:r>
      <w:r w:rsidRPr="004B74B0">
        <w:rPr>
          <w:rFonts w:ascii="Times New Roman" w:hAnsi="Times New Roman" w:cs="Times New Roman"/>
        </w:rPr>
        <w:t xml:space="preserve"> biomolecular condensates with </w:t>
      </w:r>
      <w:r w:rsidR="00281B92">
        <w:rPr>
          <w:rFonts w:ascii="Times New Roman" w:hAnsi="Times New Roman" w:cs="Times New Roman"/>
        </w:rPr>
        <w:t>additional</w:t>
      </w:r>
      <w:r w:rsidRPr="004B74B0">
        <w:rPr>
          <w:rFonts w:ascii="Times New Roman" w:hAnsi="Times New Roman" w:cs="Times New Roman"/>
        </w:rPr>
        <w:t xml:space="preserve"> putative functions are rapidly emerging (see Section 3).</w:t>
      </w:r>
    </w:p>
    <w:p w14:paraId="2CE4FBE9" w14:textId="611CD01C" w:rsidR="00B966E0" w:rsidRDefault="00B966E0">
      <w:pPr>
        <w:rPr>
          <w:rFonts w:ascii="Times New Roman" w:hAnsi="Times New Roman" w:cs="Times New Roman"/>
          <w:color w:val="000000" w:themeColor="text1"/>
        </w:rPr>
      </w:pPr>
      <w:r>
        <w:rPr>
          <w:rFonts w:ascii="Times New Roman" w:hAnsi="Times New Roman" w:cs="Times New Roman"/>
          <w:color w:val="000000" w:themeColor="text1"/>
        </w:rPr>
        <w:br w:type="page"/>
      </w:r>
    </w:p>
    <w:p w14:paraId="2968AD9F" w14:textId="44057689" w:rsidR="00266AE5" w:rsidRPr="00EB1E6E" w:rsidRDefault="00B966E0" w:rsidP="00B966E0">
      <w:pPr>
        <w:spacing w:line="276" w:lineRule="auto"/>
        <w:jc w:val="center"/>
        <w:rPr>
          <w:rFonts w:ascii="Times New Roman" w:hAnsi="Times New Roman" w:cs="Times New Roman"/>
          <w:color w:val="000000" w:themeColor="text1"/>
        </w:rPr>
      </w:pPr>
      <w:r>
        <w:rPr>
          <w:rFonts w:ascii="Times New Roman" w:hAnsi="Times New Roman" w:cs="Times New Roman"/>
          <w:noProof/>
          <w:color w:val="000000" w:themeColor="text1"/>
          <w14:ligatures w14:val="standardContextual"/>
        </w:rPr>
        <w:lastRenderedPageBreak/>
        <w:drawing>
          <wp:inline distT="0" distB="0" distL="0" distR="0" wp14:anchorId="20A13F50" wp14:editId="459298B8">
            <wp:extent cx="8370765" cy="5029613"/>
            <wp:effectExtent l="0" t="5715" r="5715" b="5715"/>
            <wp:docPr id="50528445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284458" name="Picture 1" descr="A screenshot of a compu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6200000">
                      <a:off x="0" y="0"/>
                      <a:ext cx="8399551" cy="5046909"/>
                    </a:xfrm>
                    <a:prstGeom prst="rect">
                      <a:avLst/>
                    </a:prstGeom>
                  </pic:spPr>
                </pic:pic>
              </a:graphicData>
            </a:graphic>
          </wp:inline>
        </w:drawing>
      </w:r>
    </w:p>
    <w:sectPr w:rsidR="00266AE5" w:rsidRPr="00EB1E6E" w:rsidSect="00CE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17DE"/>
    <w:multiLevelType w:val="hybridMultilevel"/>
    <w:tmpl w:val="77906B26"/>
    <w:lvl w:ilvl="0" w:tplc="EB02544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765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E5"/>
    <w:rsid w:val="00266AE5"/>
    <w:rsid w:val="00281B92"/>
    <w:rsid w:val="002F734D"/>
    <w:rsid w:val="00456EC9"/>
    <w:rsid w:val="004B74B0"/>
    <w:rsid w:val="00526953"/>
    <w:rsid w:val="006059F5"/>
    <w:rsid w:val="006963DB"/>
    <w:rsid w:val="008F078C"/>
    <w:rsid w:val="009035D8"/>
    <w:rsid w:val="009154A4"/>
    <w:rsid w:val="00B966E0"/>
    <w:rsid w:val="00BD68B6"/>
    <w:rsid w:val="00CE2B48"/>
    <w:rsid w:val="00D4296E"/>
    <w:rsid w:val="00EB1E6E"/>
    <w:rsid w:val="00F02FAB"/>
    <w:rsid w:val="00F70533"/>
    <w:rsid w:val="00FB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2DA766"/>
  <w15:chartTrackingRefBased/>
  <w15:docId w15:val="{899182EA-9D22-9448-95DD-CF269690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E5"/>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Nishimura,Erin</dc:creator>
  <cp:keywords/>
  <dc:description/>
  <cp:lastModifiedBy>Nishimura,Erin</cp:lastModifiedBy>
  <cp:revision>2</cp:revision>
  <dcterms:created xsi:type="dcterms:W3CDTF">2023-07-13T16:26:00Z</dcterms:created>
  <dcterms:modified xsi:type="dcterms:W3CDTF">2023-07-13T16:26:00Z</dcterms:modified>
</cp:coreProperties>
</file>