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C034A6" w14:textId="77777777" w:rsidR="00735692" w:rsidRDefault="00735692" w:rsidP="00A50F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Example Text 2</w:t>
      </w:r>
    </w:p>
    <w:p w14:paraId="77402AAF" w14:textId="77777777" w:rsidR="00735692" w:rsidRDefault="00735692" w:rsidP="00A50F3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F022D7" w14:textId="08B08738" w:rsidR="00A50F3C" w:rsidRDefault="00A50F3C" w:rsidP="00A50F3C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only way to diagnose celiac disease is through the usage of both serological tests and duodenal biopsy. A duodenal biopsy is used to detect mucosal changes in the intestine and serological tests check for positivity of anti-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antibodies, anti-endomysium antibodies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and deamidated gliadin peptide (DGP) antibodies. Although there has been increased proficiency in detecting celiac disease using serological tests its specificity and sensitivity is not 100% and therefore biopsy is necessary for diagnosis. Histopathological assessment in pediatric patients may also be necessary to confirm a CD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diagnosis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 order for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 positive celiac disease diagnosis to be given patients must have upregulated antibody presentation of IgA,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and anti-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tTg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with HLA-DQ2/HLA-DQ8 and mild villous atrophy or tissue inflammation (Caio 2019).</w:t>
      </w:r>
    </w:p>
    <w:p w14:paraId="150B5223" w14:textId="77777777" w:rsidR="00EC1A5F" w:rsidRPr="00A50F3C" w:rsidRDefault="00EC1A5F" w:rsidP="00A50F3C"/>
    <w:sectPr w:rsidR="00EC1A5F" w:rsidRPr="00A50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5F"/>
    <w:rsid w:val="000040B5"/>
    <w:rsid w:val="00433FCA"/>
    <w:rsid w:val="004F028A"/>
    <w:rsid w:val="00735692"/>
    <w:rsid w:val="00A50F3C"/>
    <w:rsid w:val="00CF4549"/>
    <w:rsid w:val="00EC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F21FE"/>
  <w15:chartTrackingRefBased/>
  <w15:docId w15:val="{321659BB-9027-604F-9283-4115FB8C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5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A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A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A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A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A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A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A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A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A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A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A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A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A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A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A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A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A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A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A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1A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A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1A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A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1A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A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1A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A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A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A5F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C1A5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51129DB99E8438FE6EF309F08C354" ma:contentTypeVersion="14" ma:contentTypeDescription="Create a new document." ma:contentTypeScope="" ma:versionID="7dc744bdf5b6a0bc20f5fdcb351cc095">
  <xsd:schema xmlns:xsd="http://www.w3.org/2001/XMLSchema" xmlns:xs="http://www.w3.org/2001/XMLSchema" xmlns:p="http://schemas.microsoft.com/office/2006/metadata/properties" xmlns:ns2="12423bc7-10a6-4cd4-bb27-11b0289f8e4d" xmlns:ns3="17c61571-0fe9-4ceb-9b66-2de528a072b1" targetNamespace="http://schemas.microsoft.com/office/2006/metadata/properties" ma:root="true" ma:fieldsID="3890b32a57b45779b4d4b2e999852729" ns2:_="" ns3:_="">
    <xsd:import namespace="12423bc7-10a6-4cd4-bb27-11b0289f8e4d"/>
    <xsd:import namespace="17c61571-0fe9-4ceb-9b66-2de528a0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23bc7-10a6-4cd4-bb27-11b0289f8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809afe7-41e7-411a-ade2-84efccde1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61571-0fe9-4ceb-9b66-2de528a07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406c4b-a5cf-43da-ad45-161ed2ae4afd}" ma:internalName="TaxCatchAll" ma:showField="CatchAllData" ma:web="17c61571-0fe9-4ceb-9b66-2de528a07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61571-0fe9-4ceb-9b66-2de528a072b1" xsi:nil="true"/>
    <lcf76f155ced4ddcb4097134ff3c332f xmlns="12423bc7-10a6-4cd4-bb27-11b0289f8e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3F34D0-572E-4568-A6DE-C89C8FB238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83267-00F5-4C98-8A88-8397B6B0D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423bc7-10a6-4cd4-bb27-11b0289f8e4d"/>
    <ds:schemaRef ds:uri="17c61571-0fe9-4ceb-9b66-2de528a0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580F5-F3C6-42CB-A43A-FF0F7C267A30}">
  <ds:schemaRefs>
    <ds:schemaRef ds:uri="http://schemas.microsoft.com/office/2006/metadata/properties"/>
    <ds:schemaRef ds:uri="http://schemas.microsoft.com/office/infopath/2007/PartnerControls"/>
    <ds:schemaRef ds:uri="17c61571-0fe9-4ceb-9b66-2de528a072b1"/>
    <ds:schemaRef ds:uri="12423bc7-10a6-4cd4-bb27-11b0289f8e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Nishimura</dc:creator>
  <cp:keywords/>
  <dc:description/>
  <cp:lastModifiedBy>Erin Nishimura</cp:lastModifiedBy>
  <cp:revision>4</cp:revision>
  <dcterms:created xsi:type="dcterms:W3CDTF">2026-06-30T12:18:00Z</dcterms:created>
  <dcterms:modified xsi:type="dcterms:W3CDTF">2026-06-30T18:23:00Z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0x0101008D551129DB99E8438FE6EF309F08C354</vt:lpwstr>
  </property>
</Properties>
</file>